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72"/>
          <w:szCs w:val="72"/>
        </w:rPr>
      </w:pPr>
      <w:r>
        <w:rPr>
          <w:b/>
          <w:sz w:val="72"/>
          <w:szCs w:val="72"/>
        </w:rPr>
        <w:t>SETTORE TRIBUTI</w:t>
      </w:r>
    </w:p>
    <w:p>
      <w:pPr>
        <w:pStyle w:val="ListParagraph"/>
        <w:numPr>
          <w:ilvl w:val="0"/>
          <w:numId w:val="0"/>
        </w:numPr>
        <w:ind w:hanging="0" w:left="1080"/>
        <w:jc w:val="center"/>
        <w:rPr>
          <w:sz w:val="32"/>
          <w:szCs w:val="32"/>
        </w:rPr>
      </w:pPr>
      <w:r>
        <w:rPr>
          <w:b/>
          <w:sz w:val="32"/>
          <w:szCs w:val="32"/>
        </w:rPr>
        <w:t xml:space="preserve">RICEVE TELEFONICAMENTE DAL LUNEDI’ AL VENERDI’ DALLE ore 10 alle ore 13 </w:t>
      </w:r>
    </w:p>
    <w:p>
      <w:pPr>
        <w:pStyle w:val="ListParagraph"/>
        <w:ind w:left="1080"/>
        <w:jc w:val="center"/>
        <w:rPr>
          <w:sz w:val="32"/>
          <w:szCs w:val="32"/>
        </w:rPr>
      </w:pPr>
      <w:r>
        <w:rPr>
          <w:b/>
          <w:sz w:val="32"/>
          <w:szCs w:val="32"/>
        </w:rPr>
        <w:t>TEL .01940029263 – 01940029277 – 01940029278 – 01940029216 – FAX 019481528</w:t>
      </w:r>
    </w:p>
    <w:p>
      <w:pPr>
        <w:pStyle w:val="ListParagraph"/>
        <w:numPr>
          <w:ilvl w:val="0"/>
          <w:numId w:val="0"/>
        </w:numPr>
        <w:ind w:hanging="0" w:left="1080"/>
        <w:jc w:val="center"/>
        <w:rPr/>
      </w:pPr>
      <w:r>
        <w:rPr>
          <w:b/>
          <w:sz w:val="32"/>
          <w:szCs w:val="32"/>
        </w:rPr>
        <w:t xml:space="preserve">INFORMAZIONI VIA VIA EMAIL : </w:t>
      </w:r>
      <w:hyperlink r:id="rId2">
        <w:r>
          <w:rPr>
            <w:rStyle w:val="Hyperlink"/>
            <w:b/>
            <w:sz w:val="32"/>
            <w:szCs w:val="32"/>
          </w:rPr>
          <w:t>tributi@comune.albissolamarina.sv.it</w:t>
        </w:r>
      </w:hyperlink>
    </w:p>
    <w:p>
      <w:pPr>
        <w:pStyle w:val="ListParagraph"/>
        <w:numPr>
          <w:ilvl w:val="0"/>
          <w:numId w:val="0"/>
        </w:numPr>
        <w:ind w:hanging="0" w:left="1080"/>
        <w:rPr>
          <w:sz w:val="32"/>
          <w:szCs w:val="32"/>
        </w:rPr>
      </w:pPr>
      <w:r>
        <w:rPr>
          <w:sz w:val="32"/>
          <w:szCs w:val="32"/>
        </w:rPr>
      </w:r>
    </w:p>
    <w:p>
      <w:pPr>
        <w:pStyle w:val="Normal"/>
        <w:jc w:val="center"/>
        <w:rPr>
          <w:sz w:val="56"/>
          <w:szCs w:val="56"/>
        </w:rPr>
      </w:pPr>
      <w:r>
        <w:rPr>
          <w:b/>
          <w:sz w:val="56"/>
          <w:szCs w:val="56"/>
        </w:rPr>
        <w:t>ALIQUOTE IMU 2024</w:t>
      </w:r>
    </w:p>
    <w:p>
      <w:pPr>
        <w:pStyle w:val="Normal"/>
        <w:spacing w:before="0" w:after="0"/>
        <w:rPr>
          <w:sz w:val="32"/>
          <w:szCs w:val="32"/>
        </w:rPr>
      </w:pPr>
      <w:r>
        <w:rPr>
          <w:sz w:val="32"/>
          <w:szCs w:val="32"/>
        </w:rPr>
        <w:t>Per l’anno 2024  rimangono confermate le aliquote e le detrazioni  deliberate per l’anno 2023  in seguito alla delibera Consiliare n. 35 del 21/</w:t>
      </w:r>
      <w:bookmarkStart w:id="0" w:name="_GoBack"/>
      <w:bookmarkEnd w:id="0"/>
      <w:r>
        <w:rPr>
          <w:sz w:val="32"/>
          <w:szCs w:val="32"/>
        </w:rPr>
        <w:t>12/2023, come di seguito descritto:</w:t>
      </w:r>
    </w:p>
    <w:tbl>
      <w:tblPr>
        <w:tblW w:w="144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2989"/>
        <w:gridCol w:w="1504"/>
      </w:tblGrid>
      <w:tr>
        <w:trPr>
          <w:trHeight w:val="658"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aliquota prevista per l’abitazione principale classificata nelle categorie catastali A/1, A/8 e A/9 e relative pertinenze (art. 1, comma 748, della L. n. 160/2019)</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r>
          </w:p>
          <w:p>
            <w:pPr>
              <w:pStyle w:val="Normal"/>
              <w:spacing w:before="0" w:after="0"/>
              <w:rPr>
                <w:sz w:val="32"/>
                <w:szCs w:val="32"/>
              </w:rPr>
            </w:pPr>
            <w:r>
              <w:rPr>
                <w:sz w:val="32"/>
                <w:szCs w:val="32"/>
              </w:rPr>
              <w:t>0,60%</w:t>
            </w:r>
          </w:p>
        </w:tc>
      </w:tr>
      <w:tr>
        <w:trPr>
          <w:trHeight w:val="1612"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Alloggi regolarmente assegnati dagli Istituti autonomi per le case popolari (IACP) o dagli enti di edilizia residenziale pubblica, comunque denominati, aventi le stesse finalità degli IACP, istituiti in attuazione dell'articolo 93 del decreto del Presidente della Repubblica 24 luglio 1977, n. 616.</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r>
          </w:p>
          <w:p>
            <w:pPr>
              <w:pStyle w:val="Normal"/>
              <w:spacing w:before="0" w:after="0"/>
              <w:rPr>
                <w:sz w:val="32"/>
                <w:szCs w:val="32"/>
              </w:rPr>
            </w:pPr>
            <w:r>
              <w:rPr>
                <w:sz w:val="32"/>
                <w:szCs w:val="32"/>
              </w:rPr>
            </w:r>
          </w:p>
          <w:p>
            <w:pPr>
              <w:pStyle w:val="Normal"/>
              <w:spacing w:before="0" w:after="0"/>
              <w:rPr>
                <w:sz w:val="32"/>
                <w:szCs w:val="32"/>
              </w:rPr>
            </w:pPr>
            <w:r>
              <w:rPr>
                <w:sz w:val="32"/>
                <w:szCs w:val="32"/>
              </w:rPr>
              <w:t>1,00%</w:t>
            </w:r>
          </w:p>
        </w:tc>
      </w:tr>
      <w:tr>
        <w:trPr>
          <w:trHeight w:val="1992"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Immobili ad uso abitativo iscritti nella categoria A (esclusa A/10):</w:t>
            </w:r>
          </w:p>
          <w:p>
            <w:pPr>
              <w:pStyle w:val="Normal"/>
              <w:numPr>
                <w:ilvl w:val="0"/>
                <w:numId w:val="2"/>
              </w:numPr>
              <w:spacing w:before="0" w:after="0"/>
              <w:rPr>
                <w:sz w:val="32"/>
                <w:szCs w:val="32"/>
              </w:rPr>
            </w:pPr>
            <w:r>
              <w:rPr>
                <w:sz w:val="32"/>
                <w:szCs w:val="32"/>
              </w:rPr>
              <w:t>locati con regolare contratto d’affitto, per il periodo dell’anno in cui risultano locati;</w:t>
            </w:r>
          </w:p>
          <w:p>
            <w:pPr>
              <w:pStyle w:val="Normal"/>
              <w:numPr>
                <w:ilvl w:val="0"/>
                <w:numId w:val="2"/>
              </w:numPr>
              <w:spacing w:before="0" w:after="0"/>
              <w:rPr>
                <w:sz w:val="32"/>
                <w:szCs w:val="32"/>
              </w:rPr>
            </w:pPr>
            <w:r>
              <w:rPr>
                <w:sz w:val="32"/>
                <w:szCs w:val="32"/>
              </w:rPr>
              <w:t>concessi in comodato gratuito a familiari, intesi come parenti fino al terzo grado ed affini fino al secondo grado, che vi stabiliscano la residenza e la dimora abituale</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r>
          </w:p>
          <w:p>
            <w:pPr>
              <w:pStyle w:val="Normal"/>
              <w:spacing w:before="0" w:after="0"/>
              <w:rPr>
                <w:sz w:val="32"/>
                <w:szCs w:val="32"/>
              </w:rPr>
            </w:pPr>
            <w:r>
              <w:rPr>
                <w:sz w:val="32"/>
                <w:szCs w:val="32"/>
              </w:rPr>
            </w:r>
          </w:p>
          <w:p>
            <w:pPr>
              <w:pStyle w:val="Normal"/>
              <w:spacing w:before="0" w:after="0"/>
              <w:rPr>
                <w:sz w:val="32"/>
                <w:szCs w:val="32"/>
              </w:rPr>
            </w:pPr>
            <w:r>
              <w:rPr>
                <w:sz w:val="32"/>
                <w:szCs w:val="32"/>
              </w:rPr>
            </w:r>
          </w:p>
          <w:p>
            <w:pPr>
              <w:pStyle w:val="Normal"/>
              <w:spacing w:before="0" w:after="0"/>
              <w:rPr>
                <w:sz w:val="32"/>
                <w:szCs w:val="32"/>
              </w:rPr>
            </w:pPr>
            <w:r>
              <w:rPr>
                <w:sz w:val="32"/>
                <w:szCs w:val="32"/>
              </w:rPr>
              <w:t>1,06%</w:t>
            </w:r>
          </w:p>
        </w:tc>
      </w:tr>
      <w:tr>
        <w:trPr>
          <w:trHeight w:val="430"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Immobili iscritti nella categoria catastale B</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1,06%</w:t>
            </w:r>
          </w:p>
        </w:tc>
      </w:tr>
      <w:tr>
        <w:trPr>
          <w:trHeight w:val="459"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Immobili iscritti nella categoria catastale D (esclusa D10)</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1,06%</w:t>
            </w:r>
          </w:p>
        </w:tc>
      </w:tr>
      <w:tr>
        <w:trPr>
          <w:trHeight w:val="1037"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Immobili iscritti nelle categorie catastali A/10, C/1, C/2, C/3, C/4, C/5 ed utilizzati direttamente nell’esercizio di impresa o lavoro autonomo da parte del possessore.</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r>
          </w:p>
          <w:p>
            <w:pPr>
              <w:pStyle w:val="Normal"/>
              <w:spacing w:before="0" w:after="0"/>
              <w:rPr>
                <w:sz w:val="32"/>
                <w:szCs w:val="32"/>
              </w:rPr>
            </w:pPr>
            <w:r>
              <w:rPr>
                <w:sz w:val="32"/>
                <w:szCs w:val="32"/>
              </w:rPr>
              <w:t>0,96%</w:t>
            </w:r>
          </w:p>
        </w:tc>
      </w:tr>
      <w:tr>
        <w:trPr>
          <w:trHeight w:val="430" w:hRule="atLeast"/>
        </w:trPr>
        <w:tc>
          <w:tcPr>
            <w:tcW w:w="12989"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Immobili diversi da quelli elencati in precedenza</w:t>
            </w:r>
          </w:p>
        </w:tc>
        <w:tc>
          <w:tcPr>
            <w:tcW w:w="1504" w:type="dxa"/>
            <w:tcBorders>
              <w:top w:val="single" w:sz="4" w:space="0" w:color="000000"/>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1,14%</w:t>
            </w:r>
          </w:p>
        </w:tc>
      </w:tr>
      <w:tr>
        <w:trPr>
          <w:trHeight w:val="430" w:hRule="atLeast"/>
        </w:trPr>
        <w:tc>
          <w:tcPr>
            <w:tcW w:w="12989" w:type="dxa"/>
            <w:tcBorders>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Immobili merce</w:t>
            </w:r>
          </w:p>
        </w:tc>
        <w:tc>
          <w:tcPr>
            <w:tcW w:w="1504" w:type="dxa"/>
            <w:tcBorders>
              <w:left w:val="single" w:sz="4" w:space="0" w:color="000000"/>
              <w:bottom w:val="single" w:sz="4" w:space="0" w:color="000000"/>
              <w:right w:val="single" w:sz="4" w:space="0" w:color="000000"/>
            </w:tcBorders>
          </w:tcPr>
          <w:p>
            <w:pPr>
              <w:pStyle w:val="Normal"/>
              <w:spacing w:before="0" w:after="0"/>
              <w:rPr>
                <w:sz w:val="32"/>
                <w:szCs w:val="32"/>
              </w:rPr>
            </w:pPr>
            <w:r>
              <w:rPr>
                <w:sz w:val="32"/>
                <w:szCs w:val="32"/>
              </w:rPr>
              <w:t>esente</w:t>
            </w:r>
          </w:p>
        </w:tc>
      </w:tr>
    </w:tbl>
    <w:p>
      <w:pPr>
        <w:pStyle w:val="Normal"/>
        <w:spacing w:before="0" w:after="0"/>
        <w:rPr>
          <w:sz w:val="32"/>
          <w:szCs w:val="32"/>
        </w:rPr>
      </w:pPr>
      <w:r>
        <w:rPr>
          <w:sz w:val="32"/>
          <w:szCs w:val="32"/>
        </w:rPr>
      </w:r>
    </w:p>
    <w:p>
      <w:pPr>
        <w:pStyle w:val="Normal"/>
        <w:numPr>
          <w:ilvl w:val="0"/>
          <w:numId w:val="1"/>
        </w:numPr>
        <w:rPr/>
      </w:pPr>
      <w:r>
        <w:rPr>
          <w:sz w:val="24"/>
          <w:szCs w:val="24"/>
        </w:rPr>
        <w:t>detrazione per l’abitazione principale classificata nelle categorie catastali A/1, A/8 e A/9 e relative pertinenze (art. 1, comma 749, della L. n. 160/2019): dall'imposta si detraggono, fino a concorrenza del suo ammontare, euro 200 rapportati al periodo dell'anno durante il quale si protrae tale destinazione; se l'unità immobiliare è adibita ad abitazione principale da più soggetti passivi, la detrazione spetta a ciascuno di essi proporzionalmente alla quota per la quale la destinazione medesima si verifica. La suddetta detrazione si applica agli alloggi regolarmente assegnati dagli istituti autonomi per le case popolari (IACP) o dagli enti di edilizia residenziale pubblica, comunque denominati, aventi le stesse finalità degli IACP, istituiti in attuazione dell'articolo 93 del decreto del Presidente della Repubblica 24 luglio 1977, n. 616;</w:t>
      </w:r>
    </w:p>
    <w:p>
      <w:pPr>
        <w:pStyle w:val="Normal"/>
        <w:rPr>
          <w:b/>
          <w:sz w:val="32"/>
          <w:szCs w:val="32"/>
        </w:rPr>
      </w:pPr>
      <w:r>
        <w:rPr>
          <w:b/>
          <w:sz w:val="32"/>
          <w:szCs w:val="32"/>
        </w:rPr>
        <w:t xml:space="preserve">                                                                        </w:t>
      </w:r>
    </w:p>
    <w:p>
      <w:pPr>
        <w:pStyle w:val="Normal"/>
        <w:rPr>
          <w:b/>
          <w:sz w:val="32"/>
          <w:szCs w:val="32"/>
        </w:rPr>
      </w:pPr>
      <w:r>
        <w:rPr>
          <w:b/>
          <w:sz w:val="32"/>
          <w:szCs w:val="32"/>
        </w:rPr>
        <w:t xml:space="preserve"> </w:t>
      </w:r>
      <w:r>
        <w:rPr>
          <w:b/>
          <w:sz w:val="32"/>
          <w:szCs w:val="32"/>
        </w:rPr>
        <w:t xml:space="preserve">MODALITA’ DI VERSAMENTO – Sono invariate le modalità di versamento e i codici da utilizzare nella compilazione del modello F24. Il versamento in autoliquidazione non è dovuto qualora l’imposta annua da versare sia inferiore a € 12,00;  COMUNE ALBISSOLA MARINA </w:t>
      </w:r>
      <w:r>
        <w:rPr>
          <w:b/>
          <w:sz w:val="32"/>
          <w:szCs w:val="32"/>
          <w:u w:val="single"/>
        </w:rPr>
        <w:t>CODICE CATASTALE</w:t>
      </w:r>
      <w:r>
        <w:rPr>
          <w:b/>
          <w:sz w:val="32"/>
          <w:szCs w:val="32"/>
        </w:rPr>
        <w:t xml:space="preserve"> </w:t>
      </w:r>
      <w:r>
        <w:rPr>
          <w:b/>
          <w:sz w:val="36"/>
          <w:szCs w:val="36"/>
          <w:u w:val="single"/>
        </w:rPr>
        <w:t>A165</w:t>
      </w:r>
    </w:p>
    <w:p>
      <w:pPr>
        <w:pStyle w:val="Normal"/>
        <w:rPr>
          <w:b/>
          <w:sz w:val="32"/>
          <w:szCs w:val="32"/>
        </w:rPr>
      </w:pPr>
      <w:r>
        <w:rPr>
          <w:b/>
          <w:sz w:val="32"/>
          <w:szCs w:val="32"/>
        </w:rPr>
      </w:r>
    </w:p>
    <w:p>
      <w:pPr>
        <w:pStyle w:val="Normal"/>
        <w:rPr>
          <w:b/>
          <w:sz w:val="32"/>
          <w:szCs w:val="32"/>
        </w:rPr>
      </w:pPr>
      <w:r>
        <w:rPr>
          <w:b/>
          <w:sz w:val="36"/>
          <w:szCs w:val="36"/>
          <w:u w:val="single"/>
        </w:rPr>
        <w:t xml:space="preserve">ASSISTENZA AL CALCOLO: </w:t>
      </w:r>
      <w:r>
        <w:rPr>
          <w:b/>
          <w:sz w:val="36"/>
          <w:szCs w:val="36"/>
          <w:u w:val="none"/>
        </w:rPr>
        <w:t xml:space="preserve">sul sito del Comune al seguente link è possibile utilizzare l’applicazione di calcolo automatico dell’imposta </w:t>
      </w:r>
      <w:r>
        <w:rPr>
          <w:b/>
          <w:sz w:val="36"/>
          <w:szCs w:val="36"/>
          <w:u w:val="single"/>
        </w:rPr>
        <w:t xml:space="preserve">: </w:t>
      </w:r>
      <w:r>
        <w:rPr>
          <w:b/>
          <w:sz w:val="32"/>
          <w:szCs w:val="32"/>
          <w:u w:val="single"/>
        </w:rPr>
        <w:t>https://www.riscotel.it/calcoloimu/?comune=A165</w:t>
      </w:r>
    </w:p>
    <w:p>
      <w:pPr>
        <w:pStyle w:val="Normal"/>
        <w:spacing w:before="0" w:after="200"/>
        <w:rPr>
          <w:u w:val="none"/>
        </w:rPr>
      </w:pPr>
      <w:r>
        <w:rPr>
          <w:b/>
          <w:sz w:val="36"/>
          <w:szCs w:val="36"/>
          <w:u w:val="none"/>
        </w:rPr>
        <w:t>In alternativa, su appuntamento, l’Ufficio predispone i modelli F24 per il pagamento</w:t>
      </w:r>
    </w:p>
    <w:sectPr>
      <w:type w:val="nextPage"/>
      <w:pgSz w:w="16838" w:h="23811"/>
      <w:pgMar w:left="1134" w:right="1134"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080" w:hanging="360"/>
      </w:pPr>
      <w:rPr>
        <w:rFonts w:ascii="Times New Roman" w:hAnsi="Times New Roman" w:cs="Times New Roman"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3"/>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8d1ac2"/>
    <w:rPr>
      <w:color w:themeColor="hyperlink" w:val="0000FF"/>
      <w:u w:val="single"/>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423e12"/>
    <w:pPr>
      <w:spacing w:before="0" w:after="200"/>
      <w:ind w:left="72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tributi@comune.albissolamarina.sv.it"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TotalTime>
  <Application>LibreOffice/7.6.0.3$Windows_X86_64 LibreOffice_project/69edd8b8ebc41d00b4de3915dc82f8f0fc3b6265</Application>
  <AppVersion>15.0000</AppVersion>
  <Pages>1</Pages>
  <Words>429</Words>
  <Characters>2581</Characters>
  <CharactersWithSpaces>3062</CharactersWithSpaces>
  <Paragraphs>29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2023-04-14T08:57:00Z</dcterms:created>
  <dc:creator>FORTUNATO</dc:creator>
  <dc:description/>
  <dc:language>it-IT</dc:language>
  <cp:lastModifiedBy/>
  <cp:lastPrinted>2022-04-05T06:50:00Z</cp:lastPrinted>
  <dcterms:modified xsi:type="dcterms:W3CDTF">2024-03-20T12:48:07Z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